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/>
      </w:tblPr>
      <w:tblGrid>
        <w:gridCol w:w="6373"/>
      </w:tblGrid>
      <w:tr w:rsidR="005928D4" w:rsidRPr="006F621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ЗПН0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F62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«Безпека праці на підприємствах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47FD6" w:rsidRPr="00F47FD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Pr="00964D38" w:rsidRDefault="008B543A" w:rsidP="00964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964D3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964D38" w:rsidRPr="00964D38">
        <w:rPr>
          <w:rFonts w:ascii="Times New Roman" w:hAnsi="Times New Roman" w:cs="Times New Roman"/>
          <w:sz w:val="26"/>
          <w:szCs w:val="26"/>
          <w:u w:val="single"/>
          <w:lang w:val="uk-UA"/>
        </w:rPr>
        <w:t>«Ливарне виробництво чорних та кольорових металів і сплавів</w:t>
      </w:r>
      <w:r w:rsidR="00964D38" w:rsidRPr="00964D38">
        <w:rPr>
          <w:rFonts w:ascii="Times New Roman" w:hAnsi="Times New Roman" w:cs="Times New Roman"/>
          <w:szCs w:val="28"/>
          <w:u w:val="single"/>
          <w:lang w:val="uk-UA"/>
        </w:rPr>
        <w:t>»</w:t>
      </w:r>
      <w:r w:rsidR="00721D66" w:rsidRPr="00964D38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721D66" w:rsidRPr="00964D38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964D38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  <w:lang w:val="uk-UA"/>
        </w:rPr>
        <w:t>13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964D38" w:rsidRPr="00964D3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«Металургія»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AD69B5" w:rsidRDefault="00AD69B5" w:rsidP="00AD69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AD69B5" w:rsidRPr="002B0109" w:rsidRDefault="00AD69B5" w:rsidP="00AD69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______ОПі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НС_________________</w:t>
            </w:r>
          </w:p>
          <w:p w:rsidR="00AD69B5" w:rsidRPr="002B0109" w:rsidRDefault="00AD69B5" w:rsidP="00AD69B5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AD69B5" w:rsidRDefault="00AD69B5" w:rsidP="00AD69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AD69B5" w:rsidP="00AD69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№ </w:t>
            </w:r>
            <w:r w:rsidRPr="0054620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14 серпня 2020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  <w:bookmarkStart w:id="0" w:name="_GoBack"/>
            <w:bookmarkEnd w:id="0"/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373" w:type="dxa"/>
        <w:tblLayout w:type="fixed"/>
        <w:tblLook w:val="04A0"/>
      </w:tblPr>
      <w:tblGrid>
        <w:gridCol w:w="3380"/>
        <w:gridCol w:w="6793"/>
        <w:gridCol w:w="200"/>
      </w:tblGrid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AD5847">
        <w:trPr>
          <w:gridAfter w:val="1"/>
          <w:wAfter w:w="200" w:type="dxa"/>
        </w:trPr>
        <w:tc>
          <w:tcPr>
            <w:tcW w:w="3380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6793" w:type="dxa"/>
          </w:tcPr>
          <w:p w:rsidR="00F92B58" w:rsidRPr="004130ED" w:rsidRDefault="00F47FD6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Pr="00F47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764C1F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вибіркова</w:t>
            </w:r>
          </w:p>
        </w:tc>
      </w:tr>
      <w:tr w:rsidR="00EA2C2A" w:rsidRPr="008D13E8" w:rsidTr="00AD5847">
        <w:trPr>
          <w:gridAfter w:val="1"/>
          <w:wAfter w:w="200" w:type="dxa"/>
        </w:trPr>
        <w:tc>
          <w:tcPr>
            <w:tcW w:w="3380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6793" w:type="dxa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3380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793" w:type="dxa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Олександр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Васильович</w:t>
            </w:r>
            <w:proofErr w:type="spellEnd"/>
          </w:p>
        </w:tc>
      </w:tr>
      <w:tr w:rsidR="00D873C9" w:rsidRPr="00425CA6" w:rsidTr="00AD5847">
        <w:trPr>
          <w:gridAfter w:val="1"/>
          <w:wAfter w:w="200" w:type="dxa"/>
        </w:trPr>
        <w:tc>
          <w:tcPr>
            <w:tcW w:w="3380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6793" w:type="dxa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3380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6793" w:type="dxa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425CA6" w:rsidTr="00AD5847">
        <w:trPr>
          <w:gridAfter w:val="1"/>
          <w:wAfter w:w="200" w:type="dxa"/>
        </w:trPr>
        <w:tc>
          <w:tcPr>
            <w:tcW w:w="3380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6793" w:type="dxa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вид </w:t>
            </w:r>
            <w:proofErr w:type="spellStart"/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AD5847">
        <w:trPr>
          <w:gridAfter w:val="1"/>
          <w:wAfter w:w="200" w:type="dxa"/>
        </w:trPr>
        <w:tc>
          <w:tcPr>
            <w:tcW w:w="3380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6793" w:type="dxa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425CA6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425CA6" w:rsidRPr="00110FFE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відповідні кількісні математичні, фізичні і технічні методи і комп’ютерне програмне забезпечення для вирішення інженерних завдань.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ефективно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технічну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над великими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інженерними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практичні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навички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вирішенні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професійних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застосовувати знання і розуміння наукових фактів, концепці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й, теорій, принципів і методів, 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КC.07;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міждисциплінарного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інженерного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принципів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професійній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дослідницькі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експерименту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425CA6" w:rsidRPr="00E844D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враховувати соціальні, екологічні, етичні та комерційні міркування, що впливають на реалізацію технічних рішень. 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.13;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дотримуватися професійних і етичних стандартів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розробляти та впроваджувати заходи з підвищення надійності, ефективності та безпеки.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1B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здійснювати аналіз техніко-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економічних показників, безпеки.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.21;</w:t>
            </w:r>
          </w:p>
          <w:p w:rsidR="00425CA6" w:rsidRPr="009317A4" w:rsidRDefault="00425CA6" w:rsidP="00425C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КC.22.</w:t>
            </w:r>
          </w:p>
          <w:p w:rsidR="00086275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5CA6" w:rsidRPr="00350430" w:rsidRDefault="00425CA6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lastRenderedPageBreak/>
              <w:t>Характеристика навчальної дисципліни</w:t>
            </w:r>
          </w:p>
        </w:tc>
      </w:tr>
      <w:tr w:rsidR="00F92B58" w:rsidRPr="00A00084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AE6143" w:rsidRPr="00625C06" w:rsidRDefault="00AE6143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F47FD6"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F47FD6" w:rsidRPr="00625C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7FD6"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Загальні компетенції: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вчитися та оволодівати сучасними знаннями. ЗК01;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ситуаціях. ЗК02;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обробленню та аналізу інформації з різних джерел. ЗК03;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вміння виявляти , ставити та вирішувати проблеми. ЗК04;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технологій. ЗК05;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автономно та в команді. ЗК09.</w:t>
            </w:r>
          </w:p>
          <w:p w:rsidR="00964D38" w:rsidRPr="00625C06" w:rsidRDefault="00964D38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ЗК10</w:t>
            </w:r>
          </w:p>
          <w:p w:rsidR="00964D38" w:rsidRPr="00625C06" w:rsidRDefault="00964D38" w:rsidP="00625C0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Фахові компетентності:</w:t>
            </w:r>
          </w:p>
          <w:p w:rsidR="00964D38" w:rsidRPr="00625C06" w:rsidRDefault="00964D38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проводяться. </w:t>
            </w: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ПК03;</w:t>
            </w:r>
          </w:p>
          <w:p w:rsidR="00964D38" w:rsidRPr="00625C06" w:rsidRDefault="00964D38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25C06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друку. </w:t>
            </w: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ПК08;</w:t>
            </w:r>
          </w:p>
          <w:p w:rsidR="00964D38" w:rsidRPr="00625C06" w:rsidRDefault="00964D38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25C06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людей. </w:t>
            </w: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ПК10;</w:t>
            </w:r>
          </w:p>
          <w:p w:rsidR="00964D38" w:rsidRPr="00625C06" w:rsidRDefault="00964D38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ind w:left="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25C06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</w:t>
            </w:r>
            <w:r w:rsidRPr="00625C06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 ПК14.</w:t>
            </w:r>
          </w:p>
          <w:p w:rsidR="00034DCB" w:rsidRPr="00625C06" w:rsidRDefault="00034DCB" w:rsidP="00625C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625C06" w:rsidRPr="00625C06" w:rsidRDefault="00625C06" w:rsidP="00625C0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здатність вчитися та оволодівати сучасними знаннями;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здатність застосовувати знання у практичних ситуаціях;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здатність до пошуку, обробленню та аналізу інформації з різних джерел;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вміння виявляти , ставити та вирішувати проблеми;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навички використання інформаційних і комунікаційних технологій;</w:t>
            </w:r>
          </w:p>
          <w:p w:rsidR="00625C06" w:rsidRPr="00625C06" w:rsidRDefault="00625C06" w:rsidP="00625C06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- здатність працювати автономно та в команді;</w:t>
            </w:r>
          </w:p>
          <w:p w:rsidR="00625C06" w:rsidRPr="00625C06" w:rsidRDefault="00625C06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мовою;</w:t>
            </w:r>
          </w:p>
          <w:p w:rsidR="00625C06" w:rsidRPr="00625C06" w:rsidRDefault="00625C06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625C06" w:rsidRPr="00625C06" w:rsidRDefault="00625C06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625C06" w:rsidRPr="00625C06" w:rsidRDefault="00625C06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;</w:t>
            </w:r>
          </w:p>
          <w:p w:rsidR="00625C06" w:rsidRPr="00625C06" w:rsidRDefault="00625C06" w:rsidP="00625C06">
            <w:pPr>
              <w:numPr>
                <w:ilvl w:val="0"/>
                <w:numId w:val="2"/>
              </w:numPr>
              <w:tabs>
                <w:tab w:val="left" w:pos="720"/>
                <w:tab w:val="left" w:pos="82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625C06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здатність проводити викладацьку діяльність у вищих навчальних закладах</w:t>
            </w:r>
            <w:r w:rsidRPr="00625C06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. </w:t>
            </w:r>
          </w:p>
          <w:p w:rsidR="00A00084" w:rsidRPr="00625C06" w:rsidRDefault="00A00084" w:rsidP="00625C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AD5847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84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</w:t>
            </w: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міжнародного досвіду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Завдання вивчення дисципліни</w:t>
            </w:r>
          </w:p>
        </w:tc>
      </w:tr>
      <w:tr w:rsidR="00F92B58" w:rsidRPr="00425CA6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A00084" w:rsidRPr="00AD5847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AD5847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F92B58" w:rsidRPr="00AD5847" w:rsidRDefault="00A00084" w:rsidP="008E77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Засвоївши програму навчальної дисципліни </w:t>
            </w:r>
            <w:r w:rsidR="00CB52DE" w:rsidRPr="00AD58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підприємствах, в установах і організаціях та цивільна безпека»</w:t>
            </w:r>
            <w:r w:rsidRPr="00AD58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964D38" w:rsidRPr="004130ED" w:rsidRDefault="00B735B1" w:rsidP="008E77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52DE" w:rsidRPr="00F47F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установах і організаціях та цивільна безпека»</w:t>
            </w:r>
            <w:r w:rsidR="00CB52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751C19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p w:rsidR="00751C19" w:rsidRPr="00751C19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C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  <w:tr w:rsidR="00BA262A" w:rsidRPr="008D13E8" w:rsidTr="00AD5847">
        <w:trPr>
          <w:gridAfter w:val="1"/>
          <w:wAfter w:w="200" w:type="dxa"/>
        </w:trPr>
        <w:tc>
          <w:tcPr>
            <w:tcW w:w="10173" w:type="dxa"/>
            <w:gridSpan w:val="2"/>
          </w:tcPr>
          <w:tbl>
            <w:tblPr>
              <w:tblW w:w="10147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80"/>
              <w:gridCol w:w="3855"/>
              <w:gridCol w:w="567"/>
              <w:gridCol w:w="589"/>
              <w:gridCol w:w="590"/>
              <w:gridCol w:w="589"/>
              <w:gridCol w:w="590"/>
              <w:gridCol w:w="590"/>
              <w:gridCol w:w="567"/>
              <w:gridCol w:w="510"/>
              <w:gridCol w:w="510"/>
              <w:gridCol w:w="510"/>
            </w:tblGrid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5612" w:type="dxa"/>
                  <w:gridSpan w:val="10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51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Денна форма навчання</w:t>
                  </w:r>
                </w:p>
              </w:tc>
              <w:tc>
                <w:tcPr>
                  <w:tcW w:w="209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Заочна форма </w:t>
                  </w:r>
                  <w:proofErr w:type="spellStart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навч</w:t>
                  </w:r>
                  <w:proofErr w:type="spellEnd"/>
                </w:p>
              </w:tc>
            </w:tr>
            <w:tr w:rsidR="00F47FD6" w:rsidRPr="00C762FD" w:rsidTr="00AD5847">
              <w:trPr>
                <w:cantSplit/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94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F47FD6" w:rsidRPr="00C762FD" w:rsidTr="00AD5847">
              <w:trPr>
                <w:cantSplit/>
                <w:trHeight w:val="1995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Індивідуальна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47FD6">
                    <w:rPr>
                      <w:rFonts w:ascii="Times New Roman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1 - </w:t>
                  </w:r>
                  <w:r w:rsidRPr="00F47FD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«Безпека праці»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Міжнародні норми та основні нормативно-правові акти України щодо БП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2. Безпека виробничого обладнання і виробничих процесів</w:t>
                  </w:r>
                  <w:r w:rsidRPr="00F47F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3. Виробнича санітарія і гігієни праці 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11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Особливості виробничої безпеки при експлуатації комп’ютерної техніки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Аналіз умов праці за показниками шкідливості та небезпечності чинників виробничого середовища, важкості та напруженості праці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Електробезпека</w:t>
                  </w:r>
                  <w:r w:rsidRPr="00F47F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на підприємствах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7.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Пожежна безпека на </w:t>
                  </w:r>
                  <w:proofErr w:type="spellStart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підприєм-ствах</w:t>
                  </w:r>
                  <w:proofErr w:type="spellEnd"/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 в установах і організаціях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bCs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2 - </w:t>
                  </w:r>
                  <w:r w:rsidRPr="00F47FD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«Цивільна безпека»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Законодавство України з питань ЦЗ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2. Система державного управління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 3. Надзвичайні ситуації та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 xml:space="preserve">Тема 4. Моніторинг та попередження 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lastRenderedPageBreak/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lastRenderedPageBreak/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5.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Планування заходів ЦЗ при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6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Забезпечення заходів захисту в межах завдань ЄДС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F47FD6">
                    <w:rPr>
                      <w:rFonts w:ascii="Times New Roman" w:hAnsi="Times New Roman" w:cs="Times New Roman"/>
                    </w:rPr>
                    <w:t> 7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F47FD6">
                    <w:rPr>
                      <w:rFonts w:ascii="Times New Roman" w:hAnsi="Times New Roman" w:cs="Times New Roman"/>
                    </w:rPr>
                    <w:t> </w:t>
                  </w: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Планування заходів і дій сил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F47FD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F47FD6" w:rsidRDefault="00F47FD6" w:rsidP="00F47FD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7FD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F47FD6" w:rsidRPr="00C762FD" w:rsidTr="00AD5847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FFFFFF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both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90</w:t>
                  </w:r>
                </w:p>
              </w:tc>
              <w:tc>
                <w:tcPr>
                  <w:tcW w:w="5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90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12" w:space="0" w:color="auto"/>
                    <w:left w:val="single" w:sz="8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7FD6" w:rsidRPr="00C762FD" w:rsidRDefault="00F47FD6" w:rsidP="00EC63CA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szCs w:val="28"/>
                      <w:lang w:val="uk-UA"/>
                    </w:rPr>
                  </w:pPr>
                  <w:r w:rsidRPr="00C762FD">
                    <w:rPr>
                      <w:b/>
                      <w:szCs w:val="28"/>
                      <w:lang w:val="uk-UA"/>
                    </w:rPr>
                    <w:t>84</w:t>
                  </w:r>
                </w:p>
              </w:tc>
            </w:tr>
          </w:tbl>
          <w:p w:rsidR="00BA262A" w:rsidRPr="004130ED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751C19" w:rsidRPr="008D13E8" w:rsidTr="00AD5847">
        <w:tc>
          <w:tcPr>
            <w:tcW w:w="10373" w:type="dxa"/>
            <w:gridSpan w:val="3"/>
          </w:tcPr>
          <w:p w:rsidR="00751C19" w:rsidRPr="004130ED" w:rsidRDefault="00751C19" w:rsidP="00EC63C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751C19" w:rsidRPr="008D13E8" w:rsidTr="00AD5847">
        <w:tc>
          <w:tcPr>
            <w:tcW w:w="10373" w:type="dxa"/>
            <w:gridSpan w:val="3"/>
          </w:tcPr>
          <w:p w:rsidR="00751C19" w:rsidRPr="00751C19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C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751C19" w:rsidRPr="008D13E8" w:rsidTr="00AD5847">
        <w:tc>
          <w:tcPr>
            <w:tcW w:w="10373" w:type="dxa"/>
            <w:gridSpan w:val="3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029"/>
              <w:gridCol w:w="877"/>
              <w:gridCol w:w="1325"/>
              <w:gridCol w:w="4961"/>
            </w:tblGrid>
            <w:tr w:rsidR="00751C19" w:rsidRPr="00117832" w:rsidTr="00AD5847"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751C19" w:rsidRPr="00117832" w:rsidTr="00AD5847">
              <w:tc>
                <w:tcPr>
                  <w:tcW w:w="1486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751C19" w:rsidRPr="00117832" w:rsidTr="00AD584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751C19" w:rsidRPr="00117832" w:rsidTr="00AD584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751C19" w:rsidRPr="00117832" w:rsidTr="00AD584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751C19" w:rsidRPr="00117832" w:rsidTr="00AD5847">
              <w:tc>
                <w:tcPr>
                  <w:tcW w:w="1486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751C19" w:rsidRPr="00117832" w:rsidTr="00AD5847">
              <w:tc>
                <w:tcPr>
                  <w:tcW w:w="1486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751C19" w:rsidRPr="00117832" w:rsidTr="00AD5847">
              <w:tc>
                <w:tcPr>
                  <w:tcW w:w="1486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751C19" w:rsidRPr="00C21D79" w:rsidRDefault="00751C19" w:rsidP="00EC63C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751C19" w:rsidRPr="0007240E" w:rsidRDefault="00751C19" w:rsidP="00EC6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C19" w:rsidRPr="008D13E8" w:rsidTr="00AD5847">
        <w:tc>
          <w:tcPr>
            <w:tcW w:w="10373" w:type="dxa"/>
            <w:gridSpan w:val="3"/>
          </w:tcPr>
          <w:p w:rsidR="00751C19" w:rsidRPr="004130ED" w:rsidRDefault="00751C19" w:rsidP="00751C1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751C19" w:rsidRPr="008D13E8" w:rsidTr="00AD5847">
        <w:tc>
          <w:tcPr>
            <w:tcW w:w="10373" w:type="dxa"/>
            <w:gridSpan w:val="3"/>
          </w:tcPr>
          <w:p w:rsidR="00751C19" w:rsidRPr="004130ED" w:rsidRDefault="00751C19" w:rsidP="00EC63C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FF0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54360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90DCE"/>
    <w:rsid w:val="00034DCB"/>
    <w:rsid w:val="00036CD1"/>
    <w:rsid w:val="00042C26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B0109"/>
    <w:rsid w:val="00350430"/>
    <w:rsid w:val="00356775"/>
    <w:rsid w:val="003968E3"/>
    <w:rsid w:val="004130ED"/>
    <w:rsid w:val="00425CA6"/>
    <w:rsid w:val="004277CC"/>
    <w:rsid w:val="00574656"/>
    <w:rsid w:val="00574812"/>
    <w:rsid w:val="005928D4"/>
    <w:rsid w:val="005E50F9"/>
    <w:rsid w:val="00625C06"/>
    <w:rsid w:val="006658D5"/>
    <w:rsid w:val="006F6212"/>
    <w:rsid w:val="00721D66"/>
    <w:rsid w:val="00751C19"/>
    <w:rsid w:val="00751CF2"/>
    <w:rsid w:val="00764C1F"/>
    <w:rsid w:val="007F25F9"/>
    <w:rsid w:val="00844AC7"/>
    <w:rsid w:val="00854AF4"/>
    <w:rsid w:val="00860EF1"/>
    <w:rsid w:val="0087443C"/>
    <w:rsid w:val="00885523"/>
    <w:rsid w:val="008B543A"/>
    <w:rsid w:val="008B604E"/>
    <w:rsid w:val="008D13E8"/>
    <w:rsid w:val="008E77AB"/>
    <w:rsid w:val="009142E6"/>
    <w:rsid w:val="0094124D"/>
    <w:rsid w:val="00964D38"/>
    <w:rsid w:val="00967E13"/>
    <w:rsid w:val="00990DCE"/>
    <w:rsid w:val="00A00084"/>
    <w:rsid w:val="00AD5847"/>
    <w:rsid w:val="00AD69B5"/>
    <w:rsid w:val="00AE6143"/>
    <w:rsid w:val="00B65691"/>
    <w:rsid w:val="00B735B1"/>
    <w:rsid w:val="00BA262A"/>
    <w:rsid w:val="00BC708D"/>
    <w:rsid w:val="00C63644"/>
    <w:rsid w:val="00C77A88"/>
    <w:rsid w:val="00CA542B"/>
    <w:rsid w:val="00CB52DE"/>
    <w:rsid w:val="00D8629C"/>
    <w:rsid w:val="00D873C9"/>
    <w:rsid w:val="00D904D3"/>
    <w:rsid w:val="00E064E9"/>
    <w:rsid w:val="00E5537E"/>
    <w:rsid w:val="00EA2C2A"/>
    <w:rsid w:val="00EF7870"/>
    <w:rsid w:val="00F47FD6"/>
    <w:rsid w:val="00F843EB"/>
    <w:rsid w:val="00F92B58"/>
    <w:rsid w:val="00FB3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A4EC-AFC2-4376-99D7-7A51925F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Anna</cp:lastModifiedBy>
  <cp:revision>8</cp:revision>
  <cp:lastPrinted>2020-08-17T08:45:00Z</cp:lastPrinted>
  <dcterms:created xsi:type="dcterms:W3CDTF">2020-08-26T09:36:00Z</dcterms:created>
  <dcterms:modified xsi:type="dcterms:W3CDTF">2020-09-02T07:42:00Z</dcterms:modified>
</cp:coreProperties>
</file>